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C3" w:rsidRPr="007C6DC3" w:rsidRDefault="007C6DC3" w:rsidP="007C6DC3">
      <w:pPr>
        <w:widowControl/>
        <w:pBdr>
          <w:bottom w:val="single" w:sz="8" w:space="3" w:color="74ABC8"/>
        </w:pBdr>
        <w:spacing w:line="200" w:lineRule="atLeast"/>
        <w:jc w:val="center"/>
        <w:outlineLvl w:val="0"/>
        <w:rPr>
          <w:rFonts w:ascii="Tahoma" w:eastAsia="宋体" w:hAnsi="Tahoma" w:cs="Tahoma"/>
          <w:b/>
          <w:bCs/>
          <w:color w:val="000000"/>
          <w:kern w:val="36"/>
          <w:sz w:val="18"/>
          <w:szCs w:val="18"/>
        </w:rPr>
      </w:pPr>
      <w:r w:rsidRPr="007C6DC3">
        <w:rPr>
          <w:rFonts w:ascii="Tahoma" w:eastAsia="宋体" w:hAnsi="Tahoma" w:cs="Tahoma"/>
          <w:b/>
          <w:bCs/>
          <w:color w:val="000000"/>
          <w:kern w:val="36"/>
          <w:sz w:val="18"/>
        </w:rPr>
        <w:t>关于公布</w:t>
      </w:r>
      <w:r w:rsidRPr="007C6DC3">
        <w:rPr>
          <w:rFonts w:ascii="Tahoma" w:eastAsia="宋体" w:hAnsi="Tahoma" w:cs="Tahoma"/>
          <w:b/>
          <w:bCs/>
          <w:color w:val="000000"/>
          <w:kern w:val="36"/>
          <w:sz w:val="18"/>
        </w:rPr>
        <w:t>2014</w:t>
      </w:r>
      <w:r w:rsidRPr="007C6DC3">
        <w:rPr>
          <w:rFonts w:ascii="Tahoma" w:eastAsia="宋体" w:hAnsi="Tahoma" w:cs="Tahoma"/>
          <w:b/>
          <w:bCs/>
          <w:color w:val="000000"/>
          <w:kern w:val="36"/>
          <w:sz w:val="18"/>
        </w:rPr>
        <w:t>年上半年网络课程验收和评优结果的通知</w:t>
      </w:r>
    </w:p>
    <w:p w:rsidR="007C6DC3" w:rsidRPr="007C6DC3" w:rsidRDefault="007C6DC3" w:rsidP="007C6DC3">
      <w:pPr>
        <w:widowControl/>
        <w:spacing w:line="200" w:lineRule="atLeast"/>
        <w:jc w:val="center"/>
        <w:rPr>
          <w:rFonts w:ascii="Tahoma" w:eastAsia="宋体" w:hAnsi="Tahoma" w:cs="Tahoma"/>
          <w:color w:val="777777"/>
          <w:kern w:val="0"/>
          <w:sz w:val="12"/>
          <w:szCs w:val="12"/>
        </w:rPr>
      </w:pPr>
      <w:r w:rsidRPr="007C6DC3">
        <w:rPr>
          <w:rFonts w:ascii="Tahoma" w:eastAsia="宋体" w:hAnsi="Tahoma" w:cs="Tahoma"/>
          <w:color w:val="777777"/>
          <w:kern w:val="0"/>
          <w:sz w:val="12"/>
        </w:rPr>
        <w:t>发布者：</w:t>
      </w:r>
      <w:r w:rsidRPr="007C6DC3">
        <w:rPr>
          <w:rFonts w:ascii="Tahoma" w:eastAsia="宋体" w:hAnsi="Tahoma" w:cs="Tahoma"/>
          <w:color w:val="777777"/>
          <w:kern w:val="0"/>
          <w:sz w:val="12"/>
        </w:rPr>
        <w:t> </w:t>
      </w:r>
      <w:r w:rsidRPr="007C6DC3">
        <w:rPr>
          <w:rFonts w:ascii="Tahoma" w:eastAsia="宋体" w:hAnsi="Tahoma" w:cs="Tahoma"/>
          <w:color w:val="777777"/>
          <w:kern w:val="0"/>
          <w:sz w:val="12"/>
        </w:rPr>
        <w:t>管理</w:t>
      </w:r>
      <w:proofErr w:type="gramStart"/>
      <w:r w:rsidRPr="007C6DC3">
        <w:rPr>
          <w:rFonts w:ascii="Tahoma" w:eastAsia="宋体" w:hAnsi="Tahoma" w:cs="Tahoma"/>
          <w:color w:val="777777"/>
          <w:kern w:val="0"/>
          <w:sz w:val="12"/>
        </w:rPr>
        <w:t>晕</w:t>
      </w:r>
      <w:proofErr w:type="gramEnd"/>
      <w:r w:rsidRPr="007C6DC3">
        <w:rPr>
          <w:rFonts w:ascii="Tahoma" w:eastAsia="宋体" w:hAnsi="Tahoma" w:cs="Tahoma"/>
          <w:color w:val="777777"/>
          <w:kern w:val="0"/>
          <w:sz w:val="12"/>
        </w:rPr>
        <w:t>发布时间：</w:t>
      </w:r>
      <w:r w:rsidRPr="007C6DC3">
        <w:rPr>
          <w:rFonts w:ascii="Tahoma" w:eastAsia="宋体" w:hAnsi="Tahoma" w:cs="Tahoma"/>
          <w:color w:val="777777"/>
          <w:kern w:val="0"/>
          <w:sz w:val="12"/>
        </w:rPr>
        <w:t> 2014-06-25</w:t>
      </w:r>
      <w:r w:rsidRPr="007C6DC3">
        <w:rPr>
          <w:rFonts w:ascii="Tahoma" w:eastAsia="宋体" w:hAnsi="Tahoma" w:cs="Tahoma"/>
          <w:color w:val="777777"/>
          <w:kern w:val="0"/>
          <w:sz w:val="12"/>
        </w:rPr>
        <w:t>浏览次数：</w:t>
      </w:r>
      <w:r w:rsidRPr="007C6DC3">
        <w:rPr>
          <w:rFonts w:ascii="Tahoma" w:eastAsia="宋体" w:hAnsi="Tahoma" w:cs="Tahoma"/>
          <w:color w:val="777777"/>
          <w:kern w:val="0"/>
          <w:sz w:val="12"/>
        </w:rPr>
        <w:t> 76</w:t>
      </w:r>
    </w:p>
    <w:p w:rsidR="007C6DC3" w:rsidRPr="007C6DC3" w:rsidRDefault="007C6DC3" w:rsidP="007C6DC3">
      <w:pPr>
        <w:widowControl/>
        <w:ind w:firstLine="480"/>
        <w:jc w:val="center"/>
        <w:rPr>
          <w:rFonts w:ascii="Tahoma" w:eastAsia="宋体" w:hAnsi="Tahoma" w:cs="Tahoma"/>
          <w:color w:val="454545"/>
          <w:kern w:val="0"/>
          <w:sz w:val="13"/>
          <w:szCs w:val="13"/>
        </w:rPr>
      </w:pPr>
      <w:r w:rsidRPr="007C6DC3">
        <w:rPr>
          <w:rFonts w:ascii="Tahoma" w:eastAsia="宋体" w:hAnsi="Tahoma" w:cs="Tahoma"/>
          <w:color w:val="454545"/>
          <w:kern w:val="0"/>
          <w:sz w:val="13"/>
          <w:szCs w:val="13"/>
        </w:rPr>
        <w:t> </w:t>
      </w:r>
      <w:r w:rsidRPr="007C6DC3">
        <w:rPr>
          <w:rFonts w:ascii="仿宋_GB2312" w:eastAsia="仿宋_GB2312" w:hAnsi="Tahoma" w:cs="Tahoma" w:hint="eastAsia"/>
          <w:color w:val="454545"/>
          <w:kern w:val="0"/>
          <w:sz w:val="32"/>
          <w:szCs w:val="32"/>
        </w:rPr>
        <w:t>南医大教〔2014〕72号</w:t>
      </w:r>
    </w:p>
    <w:p w:rsidR="007C6DC3" w:rsidRPr="007C6DC3" w:rsidRDefault="007C6DC3" w:rsidP="007C6DC3">
      <w:pPr>
        <w:widowControl/>
        <w:spacing w:line="520" w:lineRule="atLeast"/>
        <w:ind w:firstLine="480"/>
        <w:jc w:val="center"/>
        <w:rPr>
          <w:rFonts w:ascii="宋体" w:eastAsia="宋体" w:hAnsi="宋体" w:cs="宋体"/>
          <w:color w:val="454545"/>
          <w:kern w:val="0"/>
          <w:sz w:val="24"/>
          <w:szCs w:val="24"/>
        </w:rPr>
      </w:pPr>
      <w:r w:rsidRPr="007C6DC3">
        <w:rPr>
          <w:rFonts w:ascii="宋体" w:eastAsia="宋体" w:hAnsi="宋体" w:cs="宋体" w:hint="eastAsia"/>
          <w:color w:val="454545"/>
          <w:kern w:val="0"/>
          <w:sz w:val="28"/>
          <w:szCs w:val="28"/>
        </w:rPr>
        <w:t> </w:t>
      </w:r>
    </w:p>
    <w:p w:rsidR="007C6DC3" w:rsidRPr="007C6DC3" w:rsidRDefault="007C6DC3" w:rsidP="007C6DC3">
      <w:pPr>
        <w:widowControl/>
        <w:spacing w:line="520" w:lineRule="atLeast"/>
        <w:ind w:firstLine="480"/>
        <w:jc w:val="center"/>
        <w:rPr>
          <w:rFonts w:ascii="宋体" w:eastAsia="宋体" w:hAnsi="宋体" w:cs="宋体"/>
          <w:color w:val="454545"/>
          <w:kern w:val="0"/>
          <w:sz w:val="24"/>
          <w:szCs w:val="24"/>
        </w:rPr>
      </w:pPr>
      <w:r w:rsidRPr="007C6DC3">
        <w:rPr>
          <w:rFonts w:ascii="宋体" w:eastAsia="宋体" w:hAnsi="宋体" w:cs="宋体" w:hint="eastAsia"/>
          <w:color w:val="454545"/>
          <w:kern w:val="0"/>
          <w:sz w:val="44"/>
          <w:szCs w:val="44"/>
        </w:rPr>
        <w:t>关于公布2014年上半年网络课程</w:t>
      </w:r>
    </w:p>
    <w:p w:rsidR="007C6DC3" w:rsidRPr="007C6DC3" w:rsidRDefault="007C6DC3" w:rsidP="007C6DC3">
      <w:pPr>
        <w:widowControl/>
        <w:spacing w:line="520" w:lineRule="atLeast"/>
        <w:ind w:firstLine="480"/>
        <w:jc w:val="center"/>
        <w:rPr>
          <w:rFonts w:ascii="宋体" w:eastAsia="宋体" w:hAnsi="宋体" w:cs="宋体"/>
          <w:color w:val="454545"/>
          <w:kern w:val="0"/>
          <w:sz w:val="24"/>
          <w:szCs w:val="24"/>
        </w:rPr>
      </w:pPr>
      <w:r w:rsidRPr="007C6DC3">
        <w:rPr>
          <w:rFonts w:ascii="宋体" w:eastAsia="宋体" w:hAnsi="宋体" w:cs="宋体" w:hint="eastAsia"/>
          <w:color w:val="454545"/>
          <w:kern w:val="0"/>
          <w:sz w:val="44"/>
          <w:szCs w:val="44"/>
        </w:rPr>
        <w:t>验收和评优结果的通知</w:t>
      </w:r>
    </w:p>
    <w:p w:rsidR="007C6DC3" w:rsidRPr="007C6DC3" w:rsidRDefault="007C6DC3" w:rsidP="007C6DC3">
      <w:pPr>
        <w:widowControl/>
        <w:spacing w:line="520" w:lineRule="atLeast"/>
        <w:ind w:firstLine="48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各学院：</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根据南医大教〔2014〕47号文件的有关要求，学校近期对第一批立项建设网络课程以及自主申报的网络课程进行了验收和评优工作，现将有关结果通报如下：</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一、优秀网络课程（14门）：</w:t>
      </w:r>
    </w:p>
    <w:p w:rsidR="007C6DC3" w:rsidRPr="007C6DC3" w:rsidRDefault="007C6DC3" w:rsidP="007C6DC3">
      <w:pPr>
        <w:widowControl/>
        <w:spacing w:after="70" w:line="520" w:lineRule="atLeast"/>
        <w:ind w:firstLine="640"/>
        <w:jc w:val="center"/>
        <w:rPr>
          <w:rFonts w:ascii="宋体" w:eastAsia="宋体" w:hAnsi="宋体" w:cs="宋体"/>
          <w:color w:val="454545"/>
          <w:kern w:val="0"/>
          <w:sz w:val="24"/>
          <w:szCs w:val="24"/>
        </w:rPr>
      </w:pPr>
      <w:r>
        <w:rPr>
          <w:rFonts w:ascii="宋体" w:eastAsia="宋体" w:hAnsi="宋体" w:cs="宋体"/>
          <w:noProof/>
          <w:color w:val="454545"/>
          <w:kern w:val="0"/>
          <w:sz w:val="24"/>
          <w:szCs w:val="24"/>
        </w:rPr>
        <w:lastRenderedPageBreak/>
        <w:drawing>
          <wp:inline distT="0" distB="0" distL="0" distR="0">
            <wp:extent cx="5619750" cy="4984750"/>
            <wp:effectExtent l="19050" t="0" r="0" b="0"/>
            <wp:docPr id="1" name="图片 1" descr="http://jsfzzx.njmu.edu.cn/_upload/article/images/4e/89/d48f56c54b38924fa8ce007d7101/9fb7648b-b660-41b2-80d2-4e0bf9493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fzzx.njmu.edu.cn/_upload/article/images/4e/89/d48f56c54b38924fa8ce007d7101/9fb7648b-b660-41b2-80d2-4e0bf9493ced.jpg"/>
                    <pic:cNvPicPr>
                      <a:picLocks noChangeAspect="1" noChangeArrowheads="1"/>
                    </pic:cNvPicPr>
                  </pic:nvPicPr>
                  <pic:blipFill>
                    <a:blip r:embed="rId4" cstate="print"/>
                    <a:srcRect/>
                    <a:stretch>
                      <a:fillRect/>
                    </a:stretch>
                  </pic:blipFill>
                  <pic:spPr bwMode="auto">
                    <a:xfrm>
                      <a:off x="0" y="0"/>
                      <a:ext cx="5619750" cy="4984750"/>
                    </a:xfrm>
                    <a:prstGeom prst="rect">
                      <a:avLst/>
                    </a:prstGeom>
                    <a:noFill/>
                    <a:ln w="9525">
                      <a:noFill/>
                      <a:miter lim="800000"/>
                      <a:headEnd/>
                      <a:tailEnd/>
                    </a:ln>
                  </pic:spPr>
                </pic:pic>
              </a:graphicData>
            </a:graphic>
          </wp:inline>
        </w:drawing>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二、通过验收网络课程（17门）：</w:t>
      </w:r>
    </w:p>
    <w:p w:rsidR="007C6DC3" w:rsidRPr="007C6DC3" w:rsidRDefault="007C6DC3" w:rsidP="007C6DC3">
      <w:pPr>
        <w:widowControl/>
        <w:spacing w:after="70"/>
        <w:ind w:firstLine="480"/>
        <w:jc w:val="left"/>
        <w:rPr>
          <w:rFonts w:ascii="Tahoma" w:eastAsia="宋体" w:hAnsi="Tahoma" w:cs="Tahoma"/>
          <w:color w:val="454545"/>
          <w:kern w:val="0"/>
          <w:sz w:val="13"/>
          <w:szCs w:val="13"/>
        </w:rPr>
      </w:pPr>
      <w:r w:rsidRPr="007C6DC3">
        <w:rPr>
          <w:rFonts w:ascii="Tahoma" w:eastAsia="宋体" w:hAnsi="Tahoma" w:cs="Tahoma"/>
          <w:color w:val="454545"/>
          <w:kern w:val="0"/>
          <w:sz w:val="13"/>
          <w:szCs w:val="13"/>
        </w:rPr>
        <w:t> </w:t>
      </w:r>
    </w:p>
    <w:p w:rsidR="007C6DC3" w:rsidRPr="007C6DC3" w:rsidRDefault="007C6DC3" w:rsidP="007C6DC3">
      <w:pPr>
        <w:widowControl/>
        <w:spacing w:after="70"/>
        <w:ind w:firstLine="480"/>
        <w:jc w:val="center"/>
        <w:rPr>
          <w:rFonts w:ascii="Tahoma" w:eastAsia="宋体" w:hAnsi="Tahoma" w:cs="Tahoma"/>
          <w:color w:val="454545"/>
          <w:kern w:val="0"/>
          <w:sz w:val="13"/>
          <w:szCs w:val="13"/>
        </w:rPr>
      </w:pPr>
      <w:r>
        <w:rPr>
          <w:rFonts w:ascii="Tahoma" w:eastAsia="宋体" w:hAnsi="Tahoma" w:cs="Tahoma"/>
          <w:noProof/>
          <w:color w:val="454545"/>
          <w:kern w:val="0"/>
          <w:sz w:val="13"/>
          <w:szCs w:val="13"/>
        </w:rPr>
        <w:lastRenderedPageBreak/>
        <w:drawing>
          <wp:inline distT="0" distB="0" distL="0" distR="0">
            <wp:extent cx="5943600" cy="5892800"/>
            <wp:effectExtent l="19050" t="0" r="0" b="0"/>
            <wp:docPr id="2" name="图片 2" descr="http://jsfzzx.njmu.edu.cn/_upload/article/images/4e/89/d48f56c54b38924fa8ce007d7101/0da2356f-52aa-4776-85cd-9e3ec108a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fzzx.njmu.edu.cn/_upload/article/images/4e/89/d48f56c54b38924fa8ce007d7101/0da2356f-52aa-4776-85cd-9e3ec108a589.jpg"/>
                    <pic:cNvPicPr>
                      <a:picLocks noChangeAspect="1" noChangeArrowheads="1"/>
                    </pic:cNvPicPr>
                  </pic:nvPicPr>
                  <pic:blipFill>
                    <a:blip r:embed="rId5" cstate="print"/>
                    <a:srcRect/>
                    <a:stretch>
                      <a:fillRect/>
                    </a:stretch>
                  </pic:blipFill>
                  <pic:spPr bwMode="auto">
                    <a:xfrm>
                      <a:off x="0" y="0"/>
                      <a:ext cx="5943600" cy="5892800"/>
                    </a:xfrm>
                    <a:prstGeom prst="rect">
                      <a:avLst/>
                    </a:prstGeom>
                    <a:noFill/>
                    <a:ln w="9525">
                      <a:noFill/>
                      <a:miter lim="800000"/>
                      <a:headEnd/>
                      <a:tailEnd/>
                    </a:ln>
                  </pic:spPr>
                </pic:pic>
              </a:graphicData>
            </a:graphic>
          </wp:inline>
        </w:drawing>
      </w:r>
    </w:p>
    <w:p w:rsidR="007C6DC3" w:rsidRPr="007C6DC3" w:rsidRDefault="007C6DC3" w:rsidP="007C6DC3">
      <w:pPr>
        <w:widowControl/>
        <w:spacing w:after="70"/>
        <w:ind w:firstLine="480"/>
        <w:jc w:val="center"/>
        <w:rPr>
          <w:rFonts w:ascii="Tahoma" w:eastAsia="宋体" w:hAnsi="Tahoma" w:cs="Tahoma"/>
          <w:color w:val="454545"/>
          <w:kern w:val="0"/>
          <w:sz w:val="13"/>
          <w:szCs w:val="13"/>
        </w:rPr>
      </w:pPr>
      <w:r w:rsidRPr="007C6DC3">
        <w:rPr>
          <w:rFonts w:ascii="Tahoma" w:eastAsia="宋体" w:hAnsi="Tahoma" w:cs="Tahoma"/>
          <w:color w:val="454545"/>
          <w:kern w:val="0"/>
          <w:sz w:val="13"/>
          <w:szCs w:val="13"/>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hint="eastAsia"/>
          <w:color w:val="454545"/>
          <w:kern w:val="0"/>
          <w:sz w:val="32"/>
          <w:szCs w:val="32"/>
        </w:rPr>
        <w:t>三、对通过验收并被评为优秀网络课程的教学团队奖励</w:t>
      </w:r>
      <w:r w:rsidRPr="007C6DC3">
        <w:rPr>
          <w:rFonts w:ascii="宋体" w:eastAsia="宋体" w:hAnsi="宋体" w:cs="宋体"/>
          <w:color w:val="454545"/>
          <w:kern w:val="0"/>
          <w:sz w:val="32"/>
          <w:szCs w:val="32"/>
        </w:rPr>
        <w:t>2000</w:t>
      </w:r>
      <w:r w:rsidRPr="007C6DC3">
        <w:rPr>
          <w:rFonts w:ascii="宋体" w:eastAsia="宋体" w:hAnsi="宋体" w:cs="宋体" w:hint="eastAsia"/>
          <w:color w:val="454545"/>
          <w:kern w:val="0"/>
          <w:sz w:val="32"/>
          <w:szCs w:val="32"/>
        </w:rPr>
        <w:t>元并给予</w:t>
      </w:r>
      <w:r w:rsidRPr="007C6DC3">
        <w:rPr>
          <w:rFonts w:ascii="宋体" w:eastAsia="宋体" w:hAnsi="宋体" w:cs="宋体"/>
          <w:color w:val="454545"/>
          <w:kern w:val="0"/>
          <w:sz w:val="32"/>
          <w:szCs w:val="32"/>
        </w:rPr>
        <w:t>15</w:t>
      </w:r>
      <w:r w:rsidRPr="007C6DC3">
        <w:rPr>
          <w:rFonts w:ascii="宋体" w:eastAsia="宋体" w:hAnsi="宋体" w:cs="宋体" w:hint="eastAsia"/>
          <w:color w:val="454545"/>
          <w:kern w:val="0"/>
          <w:sz w:val="32"/>
          <w:szCs w:val="32"/>
        </w:rPr>
        <w:t>个教学激励分；对非立项建设但通过验收的课程奖励</w:t>
      </w:r>
      <w:r w:rsidRPr="007C6DC3">
        <w:rPr>
          <w:rFonts w:ascii="宋体" w:eastAsia="宋体" w:hAnsi="宋体" w:cs="宋体"/>
          <w:color w:val="454545"/>
          <w:kern w:val="0"/>
          <w:sz w:val="32"/>
          <w:szCs w:val="32"/>
        </w:rPr>
        <w:t>1000</w:t>
      </w:r>
      <w:r w:rsidRPr="007C6DC3">
        <w:rPr>
          <w:rFonts w:ascii="宋体" w:eastAsia="宋体" w:hAnsi="宋体" w:cs="宋体" w:hint="eastAsia"/>
          <w:color w:val="454545"/>
          <w:kern w:val="0"/>
          <w:sz w:val="32"/>
          <w:szCs w:val="32"/>
        </w:rPr>
        <w:t>元并给予</w:t>
      </w:r>
      <w:r w:rsidRPr="007C6DC3">
        <w:rPr>
          <w:rFonts w:ascii="宋体" w:eastAsia="宋体" w:hAnsi="宋体" w:cs="宋体"/>
          <w:color w:val="454545"/>
          <w:kern w:val="0"/>
          <w:sz w:val="32"/>
          <w:szCs w:val="32"/>
        </w:rPr>
        <w:t>5</w:t>
      </w:r>
      <w:r w:rsidRPr="007C6DC3">
        <w:rPr>
          <w:rFonts w:ascii="宋体" w:eastAsia="宋体" w:hAnsi="宋体" w:cs="宋体" w:hint="eastAsia"/>
          <w:color w:val="454545"/>
          <w:kern w:val="0"/>
          <w:sz w:val="32"/>
          <w:szCs w:val="32"/>
        </w:rPr>
        <w:t>个教学激励分。</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hint="eastAsia"/>
          <w:color w:val="454545"/>
          <w:kern w:val="0"/>
          <w:sz w:val="32"/>
          <w:szCs w:val="32"/>
        </w:rPr>
        <w:t>四、第一批立项建设但暂缓通过验收课程务必在下学期通过验收。</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lastRenderedPageBreak/>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r w:rsidRPr="007C6DC3">
        <w:rPr>
          <w:rFonts w:ascii="宋体" w:eastAsia="宋体" w:hAnsi="宋体" w:cs="宋体" w:hint="eastAsia"/>
          <w:color w:val="454545"/>
          <w:kern w:val="0"/>
          <w:sz w:val="32"/>
          <w:szCs w:val="32"/>
        </w:rPr>
        <w:t>二○一四年六月十九日</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p>
    <w:p w:rsidR="007C6DC3" w:rsidRPr="007C6DC3" w:rsidRDefault="007C6DC3" w:rsidP="007C6DC3">
      <w:pPr>
        <w:widowControl/>
        <w:spacing w:line="520" w:lineRule="atLeast"/>
        <w:ind w:firstLine="640"/>
        <w:jc w:val="left"/>
        <w:rPr>
          <w:rFonts w:ascii="宋体" w:eastAsia="宋体" w:hAnsi="宋体" w:cs="宋体"/>
          <w:color w:val="454545"/>
          <w:kern w:val="0"/>
          <w:sz w:val="24"/>
          <w:szCs w:val="24"/>
        </w:rPr>
      </w:pPr>
      <w:r w:rsidRPr="007C6DC3">
        <w:rPr>
          <w:rFonts w:ascii="宋体" w:eastAsia="宋体" w:hAnsi="宋体" w:cs="宋体"/>
          <w:color w:val="454545"/>
          <w:kern w:val="0"/>
          <w:sz w:val="32"/>
          <w:szCs w:val="32"/>
        </w:rPr>
        <w:t>  </w:t>
      </w:r>
    </w:p>
    <w:p w:rsidR="007C6DC3" w:rsidRPr="007C6DC3" w:rsidRDefault="007C6DC3" w:rsidP="007C6DC3">
      <w:pPr>
        <w:widowControl/>
        <w:spacing w:line="520" w:lineRule="atLeast"/>
        <w:ind w:firstLine="480"/>
        <w:jc w:val="left"/>
        <w:rPr>
          <w:rFonts w:ascii="宋体" w:eastAsia="宋体" w:hAnsi="宋体" w:cs="宋体"/>
          <w:color w:val="454545"/>
          <w:kern w:val="0"/>
          <w:sz w:val="24"/>
          <w:szCs w:val="24"/>
        </w:rPr>
      </w:pPr>
      <w:r w:rsidRPr="007C6DC3">
        <w:rPr>
          <w:rFonts w:ascii="黑体" w:eastAsia="黑体" w:hAnsi="黑体" w:cs="宋体" w:hint="eastAsia"/>
          <w:color w:val="454545"/>
          <w:kern w:val="0"/>
          <w:sz w:val="32"/>
          <w:szCs w:val="32"/>
        </w:rPr>
        <w:t>主题词：网络课程</w:t>
      </w:r>
      <w:r w:rsidRPr="007C6DC3">
        <w:rPr>
          <w:rFonts w:ascii="宋体" w:eastAsia="宋体" w:hAnsi="宋体" w:cs="宋体" w:hint="eastAsia"/>
          <w:color w:val="454545"/>
          <w:kern w:val="0"/>
          <w:sz w:val="44"/>
        </w:rPr>
        <w:t> </w:t>
      </w:r>
      <w:r w:rsidRPr="007C6DC3">
        <w:rPr>
          <w:rFonts w:ascii="宋体" w:eastAsia="宋体" w:hAnsi="宋体" w:cs="宋体" w:hint="eastAsia"/>
          <w:color w:val="454545"/>
          <w:kern w:val="0"/>
          <w:sz w:val="32"/>
          <w:szCs w:val="32"/>
        </w:rPr>
        <w:t> </w:t>
      </w:r>
      <w:r w:rsidRPr="007C6DC3">
        <w:rPr>
          <w:rFonts w:ascii="黑体" w:eastAsia="黑体" w:hAnsi="黑体" w:cs="宋体" w:hint="eastAsia"/>
          <w:color w:val="454545"/>
          <w:kern w:val="0"/>
          <w:sz w:val="32"/>
          <w:szCs w:val="32"/>
        </w:rPr>
        <w:t>验收</w:t>
      </w:r>
      <w:r w:rsidRPr="007C6DC3">
        <w:rPr>
          <w:rFonts w:ascii="宋体" w:eastAsia="宋体" w:hAnsi="宋体" w:cs="宋体" w:hint="eastAsia"/>
          <w:color w:val="454545"/>
          <w:kern w:val="0"/>
          <w:sz w:val="32"/>
          <w:szCs w:val="32"/>
        </w:rPr>
        <w:t> </w:t>
      </w:r>
      <w:r w:rsidRPr="007C6DC3">
        <w:rPr>
          <w:rFonts w:ascii="宋体" w:eastAsia="宋体" w:hAnsi="宋体" w:cs="宋体" w:hint="eastAsia"/>
          <w:color w:val="454545"/>
          <w:kern w:val="0"/>
          <w:sz w:val="32"/>
        </w:rPr>
        <w:t> </w:t>
      </w:r>
      <w:r w:rsidRPr="007C6DC3">
        <w:rPr>
          <w:rFonts w:ascii="黑体" w:eastAsia="黑体" w:hAnsi="黑体" w:cs="宋体" w:hint="eastAsia"/>
          <w:color w:val="454545"/>
          <w:kern w:val="0"/>
          <w:sz w:val="32"/>
          <w:szCs w:val="32"/>
        </w:rPr>
        <w:t>评优</w:t>
      </w:r>
      <w:r w:rsidRPr="007C6DC3">
        <w:rPr>
          <w:rFonts w:ascii="宋体" w:eastAsia="宋体" w:hAnsi="宋体" w:cs="宋体" w:hint="eastAsia"/>
          <w:color w:val="454545"/>
          <w:kern w:val="0"/>
          <w:sz w:val="32"/>
          <w:szCs w:val="32"/>
        </w:rPr>
        <w:t> </w:t>
      </w:r>
      <w:r w:rsidRPr="007C6DC3">
        <w:rPr>
          <w:rFonts w:ascii="宋体" w:eastAsia="宋体" w:hAnsi="宋体" w:cs="宋体" w:hint="eastAsia"/>
          <w:color w:val="454545"/>
          <w:kern w:val="0"/>
          <w:sz w:val="32"/>
        </w:rPr>
        <w:t> </w:t>
      </w:r>
      <w:r w:rsidRPr="007C6DC3">
        <w:rPr>
          <w:rFonts w:ascii="黑体" w:eastAsia="黑体" w:hAnsi="黑体" w:cs="宋体" w:hint="eastAsia"/>
          <w:color w:val="454545"/>
          <w:kern w:val="0"/>
          <w:sz w:val="32"/>
          <w:szCs w:val="32"/>
        </w:rPr>
        <w:t>结果</w:t>
      </w:r>
      <w:r w:rsidRPr="007C6DC3">
        <w:rPr>
          <w:rFonts w:ascii="宋体" w:eastAsia="宋体" w:hAnsi="宋体" w:cs="宋体" w:hint="eastAsia"/>
          <w:color w:val="454545"/>
          <w:kern w:val="0"/>
          <w:sz w:val="32"/>
          <w:szCs w:val="32"/>
        </w:rPr>
        <w:t> </w:t>
      </w:r>
      <w:r w:rsidRPr="007C6DC3">
        <w:rPr>
          <w:rFonts w:ascii="宋体" w:eastAsia="宋体" w:hAnsi="宋体" w:cs="宋体" w:hint="eastAsia"/>
          <w:color w:val="454545"/>
          <w:kern w:val="0"/>
          <w:sz w:val="32"/>
        </w:rPr>
        <w:t> </w:t>
      </w:r>
      <w:r w:rsidRPr="007C6DC3">
        <w:rPr>
          <w:rFonts w:ascii="黑体" w:eastAsia="黑体" w:hAnsi="黑体" w:cs="宋体" w:hint="eastAsia"/>
          <w:color w:val="454545"/>
          <w:kern w:val="0"/>
          <w:sz w:val="32"/>
          <w:szCs w:val="32"/>
        </w:rPr>
        <w:t>通知</w:t>
      </w:r>
    </w:p>
    <w:p w:rsidR="007C6DC3" w:rsidRPr="007C6DC3" w:rsidRDefault="007C6DC3" w:rsidP="007C6DC3">
      <w:pPr>
        <w:widowControl/>
        <w:spacing w:line="520" w:lineRule="atLeast"/>
        <w:ind w:firstLine="320"/>
        <w:jc w:val="left"/>
        <w:rPr>
          <w:rFonts w:ascii="宋体" w:eastAsia="宋体" w:hAnsi="宋体" w:cs="宋体"/>
          <w:color w:val="454545"/>
          <w:kern w:val="0"/>
          <w:sz w:val="24"/>
          <w:szCs w:val="24"/>
        </w:rPr>
      </w:pPr>
      <w:r w:rsidRPr="007C6DC3">
        <w:rPr>
          <w:rFonts w:ascii="仿宋_GB2312" w:eastAsia="仿宋_GB2312" w:hAnsi="宋体" w:cs="宋体" w:hint="eastAsia"/>
          <w:color w:val="454545"/>
          <w:kern w:val="0"/>
          <w:sz w:val="32"/>
          <w:szCs w:val="32"/>
        </w:rPr>
        <w:t>教务处印发</w:t>
      </w:r>
      <w:r w:rsidRPr="007C6DC3">
        <w:rPr>
          <w:rFonts w:ascii="仿宋_GB2312" w:eastAsia="仿宋_GB2312" w:hAnsi="宋体" w:cs="宋体" w:hint="eastAsia"/>
          <w:color w:val="454545"/>
          <w:kern w:val="0"/>
          <w:sz w:val="32"/>
          <w:szCs w:val="32"/>
        </w:rPr>
        <w:t>                    </w:t>
      </w:r>
      <w:r w:rsidRPr="007C6DC3">
        <w:rPr>
          <w:rFonts w:ascii="仿宋_GB2312" w:eastAsia="仿宋_GB2312" w:hAnsi="宋体" w:cs="宋体" w:hint="eastAsia"/>
          <w:color w:val="454545"/>
          <w:kern w:val="0"/>
          <w:sz w:val="32"/>
        </w:rPr>
        <w:t> </w:t>
      </w:r>
      <w:r w:rsidRPr="007C6DC3">
        <w:rPr>
          <w:rFonts w:ascii="仿宋_GB2312" w:eastAsia="仿宋_GB2312" w:hAnsi="宋体" w:cs="宋体" w:hint="eastAsia"/>
          <w:color w:val="454545"/>
          <w:kern w:val="0"/>
          <w:sz w:val="32"/>
          <w:szCs w:val="32"/>
        </w:rPr>
        <w:t>2014年6月19日</w:t>
      </w:r>
    </w:p>
    <w:p w:rsidR="005B0F31" w:rsidRDefault="005B0F31">
      <w:pPr>
        <w:rPr>
          <w:rFonts w:hint="eastAsia"/>
        </w:rPr>
      </w:pPr>
    </w:p>
    <w:sectPr w:rsidR="005B0F31" w:rsidSect="005B0F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DC3"/>
    <w:rsid w:val="005B0F31"/>
    <w:rsid w:val="007C6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31"/>
    <w:pPr>
      <w:widowControl w:val="0"/>
      <w:jc w:val="both"/>
    </w:pPr>
  </w:style>
  <w:style w:type="paragraph" w:styleId="1">
    <w:name w:val="heading 1"/>
    <w:basedOn w:val="a"/>
    <w:link w:val="1Char"/>
    <w:uiPriority w:val="9"/>
    <w:qFormat/>
    <w:rsid w:val="007C6D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6DC3"/>
    <w:rPr>
      <w:rFonts w:ascii="宋体" w:eastAsia="宋体" w:hAnsi="宋体" w:cs="宋体"/>
      <w:b/>
      <w:bCs/>
      <w:kern w:val="36"/>
      <w:sz w:val="48"/>
      <w:szCs w:val="48"/>
    </w:rPr>
  </w:style>
  <w:style w:type="character" w:customStyle="1" w:styleId="articletitle">
    <w:name w:val="article_title"/>
    <w:basedOn w:val="a0"/>
    <w:rsid w:val="007C6DC3"/>
  </w:style>
  <w:style w:type="paragraph" w:customStyle="1" w:styleId="postmeta">
    <w:name w:val="postmeta"/>
    <w:basedOn w:val="a"/>
    <w:rsid w:val="007C6DC3"/>
    <w:pPr>
      <w:widowControl/>
      <w:spacing w:before="100" w:beforeAutospacing="1" w:after="100" w:afterAutospacing="1"/>
      <w:jc w:val="left"/>
    </w:pPr>
    <w:rPr>
      <w:rFonts w:ascii="宋体" w:eastAsia="宋体" w:hAnsi="宋体" w:cs="宋体"/>
      <w:kern w:val="0"/>
      <w:sz w:val="24"/>
      <w:szCs w:val="24"/>
    </w:rPr>
  </w:style>
  <w:style w:type="character" w:customStyle="1" w:styleId="publisher">
    <w:name w:val="publisher"/>
    <w:basedOn w:val="a0"/>
    <w:rsid w:val="007C6DC3"/>
  </w:style>
  <w:style w:type="character" w:customStyle="1" w:styleId="apple-converted-space">
    <w:name w:val="apple-converted-space"/>
    <w:basedOn w:val="a0"/>
    <w:rsid w:val="007C6DC3"/>
  </w:style>
  <w:style w:type="character" w:customStyle="1" w:styleId="articlepublisher">
    <w:name w:val="article_publisher"/>
    <w:basedOn w:val="a0"/>
    <w:rsid w:val="007C6DC3"/>
  </w:style>
  <w:style w:type="character" w:customStyle="1" w:styleId="posttime">
    <w:name w:val="posttime"/>
    <w:basedOn w:val="a0"/>
    <w:rsid w:val="007C6DC3"/>
  </w:style>
  <w:style w:type="character" w:customStyle="1" w:styleId="articlepublishdate">
    <w:name w:val="article_publishdate"/>
    <w:basedOn w:val="a0"/>
    <w:rsid w:val="007C6DC3"/>
  </w:style>
  <w:style w:type="character" w:customStyle="1" w:styleId="views">
    <w:name w:val="views"/>
    <w:basedOn w:val="a0"/>
    <w:rsid w:val="007C6DC3"/>
  </w:style>
  <w:style w:type="character" w:customStyle="1" w:styleId="wpvisitcount">
    <w:name w:val="wp_visitcount"/>
    <w:basedOn w:val="a0"/>
    <w:rsid w:val="007C6DC3"/>
  </w:style>
  <w:style w:type="paragraph" w:styleId="a3">
    <w:name w:val="Normal (Web)"/>
    <w:basedOn w:val="a"/>
    <w:uiPriority w:val="99"/>
    <w:semiHidden/>
    <w:unhideWhenUsed/>
    <w:rsid w:val="007C6DC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C6DC3"/>
    <w:rPr>
      <w:sz w:val="18"/>
      <w:szCs w:val="18"/>
    </w:rPr>
  </w:style>
  <w:style w:type="character" w:customStyle="1" w:styleId="Char">
    <w:name w:val="批注框文本 Char"/>
    <w:basedOn w:val="a0"/>
    <w:link w:val="a4"/>
    <w:uiPriority w:val="99"/>
    <w:semiHidden/>
    <w:rsid w:val="007C6DC3"/>
    <w:rPr>
      <w:sz w:val="18"/>
      <w:szCs w:val="18"/>
    </w:rPr>
  </w:style>
</w:styles>
</file>

<file path=word/webSettings.xml><?xml version="1.0" encoding="utf-8"?>
<w:webSettings xmlns:r="http://schemas.openxmlformats.org/officeDocument/2006/relationships" xmlns:w="http://schemas.openxmlformats.org/wordprocessingml/2006/main">
  <w:divs>
    <w:div w:id="2007711586">
      <w:bodyDiv w:val="1"/>
      <w:marLeft w:val="0"/>
      <w:marRight w:val="0"/>
      <w:marTop w:val="0"/>
      <w:marBottom w:val="0"/>
      <w:divBdr>
        <w:top w:val="none" w:sz="0" w:space="0" w:color="auto"/>
        <w:left w:val="none" w:sz="0" w:space="0" w:color="auto"/>
        <w:bottom w:val="none" w:sz="0" w:space="0" w:color="auto"/>
        <w:right w:val="none" w:sz="0" w:space="0" w:color="auto"/>
      </w:divBdr>
      <w:divsChild>
        <w:div w:id="1581865373">
          <w:marLeft w:val="0"/>
          <w:marRight w:val="0"/>
          <w:marTop w:val="0"/>
          <w:marBottom w:val="0"/>
          <w:divBdr>
            <w:top w:val="none" w:sz="0" w:space="0" w:color="auto"/>
            <w:left w:val="none" w:sz="0" w:space="0" w:color="auto"/>
            <w:bottom w:val="none" w:sz="0" w:space="0" w:color="auto"/>
            <w:right w:val="none" w:sz="0" w:space="0" w:color="auto"/>
          </w:divBdr>
          <w:divsChild>
            <w:div w:id="1874422520">
              <w:marLeft w:val="0"/>
              <w:marRight w:val="0"/>
              <w:marTop w:val="0"/>
              <w:marBottom w:val="0"/>
              <w:divBdr>
                <w:top w:val="none" w:sz="0" w:space="0" w:color="auto"/>
                <w:left w:val="none" w:sz="0" w:space="0" w:color="auto"/>
                <w:bottom w:val="none" w:sz="0" w:space="0" w:color="auto"/>
                <w:right w:val="none" w:sz="0" w:space="0" w:color="auto"/>
              </w:divBdr>
              <w:divsChild>
                <w:div w:id="68695917">
                  <w:marLeft w:val="0"/>
                  <w:marRight w:val="0"/>
                  <w:marTop w:val="0"/>
                  <w:marBottom w:val="0"/>
                  <w:divBdr>
                    <w:top w:val="none" w:sz="0" w:space="0" w:color="auto"/>
                    <w:left w:val="none" w:sz="0" w:space="0" w:color="auto"/>
                    <w:bottom w:val="none" w:sz="0" w:space="0" w:color="auto"/>
                    <w:right w:val="none" w:sz="0" w:space="0" w:color="auto"/>
                  </w:divBdr>
                  <w:divsChild>
                    <w:div w:id="2012948896">
                      <w:marLeft w:val="0"/>
                      <w:marRight w:val="0"/>
                      <w:marTop w:val="0"/>
                      <w:marBottom w:val="0"/>
                      <w:divBdr>
                        <w:top w:val="none" w:sz="0" w:space="0" w:color="auto"/>
                        <w:left w:val="none" w:sz="0" w:space="0" w:color="auto"/>
                        <w:bottom w:val="none" w:sz="0" w:space="0" w:color="auto"/>
                        <w:right w:val="none" w:sz="0" w:space="0" w:color="auto"/>
                      </w:divBdr>
                      <w:divsChild>
                        <w:div w:id="1086345041">
                          <w:marLeft w:val="0"/>
                          <w:marRight w:val="0"/>
                          <w:marTop w:val="0"/>
                          <w:marBottom w:val="0"/>
                          <w:divBdr>
                            <w:top w:val="none" w:sz="0" w:space="0" w:color="auto"/>
                            <w:left w:val="none" w:sz="0" w:space="0" w:color="auto"/>
                            <w:bottom w:val="none" w:sz="0" w:space="0" w:color="auto"/>
                            <w:right w:val="none" w:sz="0" w:space="0" w:color="auto"/>
                          </w:divBdr>
                          <w:divsChild>
                            <w:div w:id="1426148359">
                              <w:marLeft w:val="0"/>
                              <w:marRight w:val="0"/>
                              <w:marTop w:val="0"/>
                              <w:marBottom w:val="0"/>
                              <w:divBdr>
                                <w:top w:val="single" w:sz="8" w:space="1" w:color="auto"/>
                                <w:left w:val="none" w:sz="0" w:space="0" w:color="auto"/>
                                <w:bottom w:val="single" w:sz="8" w:space="1"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2018-05-18T07:39:00Z</dcterms:created>
  <dcterms:modified xsi:type="dcterms:W3CDTF">2018-05-18T07:40:00Z</dcterms:modified>
</cp:coreProperties>
</file>